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251" w:rsidRDefault="009A5251" w:rsidP="004E39C1">
      <w:pPr>
        <w:jc w:val="center"/>
      </w:pPr>
    </w:p>
    <w:p w:rsidR="004E39C1" w:rsidRDefault="004E39C1" w:rsidP="004E39C1">
      <w:pPr>
        <w:jc w:val="center"/>
      </w:pPr>
    </w:p>
    <w:p w:rsidR="004E39C1" w:rsidRDefault="004E39C1" w:rsidP="004E39C1">
      <w:pPr>
        <w:jc w:val="center"/>
      </w:pPr>
    </w:p>
    <w:p w:rsidR="004E39C1" w:rsidRDefault="004E39C1" w:rsidP="004E39C1">
      <w:pPr>
        <w:jc w:val="center"/>
      </w:pPr>
    </w:p>
    <w:p w:rsidR="004E39C1" w:rsidRDefault="004E39C1" w:rsidP="004E39C1">
      <w:pPr>
        <w:jc w:val="center"/>
      </w:pPr>
      <w:r>
        <w:t>How Data Policies and Governance is Incorporated in Community Healthcare Centers</w:t>
      </w:r>
    </w:p>
    <w:p w:rsidR="004E39C1" w:rsidRDefault="004E39C1" w:rsidP="004E39C1">
      <w:pPr>
        <w:jc w:val="center"/>
      </w:pPr>
      <w:r>
        <w:t>Student</w:t>
      </w:r>
    </w:p>
    <w:p w:rsidR="004E39C1" w:rsidRDefault="004E39C1" w:rsidP="004E39C1">
      <w:pPr>
        <w:jc w:val="center"/>
      </w:pPr>
      <w:r>
        <w:t>Institution</w:t>
      </w:r>
    </w:p>
    <w:p w:rsidR="00FC5D68" w:rsidRDefault="00FC5D68">
      <w:r>
        <w:br w:type="page"/>
      </w:r>
    </w:p>
    <w:p w:rsidR="00FC5D68" w:rsidRDefault="00A614A9" w:rsidP="00A614A9">
      <w:pPr>
        <w:pStyle w:val="Heading1"/>
      </w:pPr>
      <w:r>
        <w:lastRenderedPageBreak/>
        <w:t>Introduction</w:t>
      </w:r>
    </w:p>
    <w:p w:rsidR="00476E53" w:rsidRDefault="00A614A9" w:rsidP="00A614A9">
      <w:r>
        <w:tab/>
        <w:t>Over the past few years, data has</w:t>
      </w:r>
      <w:r w:rsidR="00D045A5">
        <w:t xml:space="preserve"> increasingly become</w:t>
      </w:r>
      <w:r>
        <w:t xml:space="preserve"> important in </w:t>
      </w:r>
      <w:r w:rsidR="00456AF9">
        <w:t xml:space="preserve">the </w:t>
      </w:r>
      <w:r>
        <w:t>everyday aspect</w:t>
      </w:r>
      <w:r w:rsidR="00456AF9">
        <w:t>s</w:t>
      </w:r>
      <w:r>
        <w:t xml:space="preserve"> of today’s world. </w:t>
      </w:r>
      <w:r w:rsidR="003C28CF">
        <w:t>It is sometimes even referred to as “the new currency”.</w:t>
      </w:r>
      <w:r w:rsidR="00A13FE5">
        <w:t xml:space="preserve"> Effective handling of data is currently one of the most essential phenomena </w:t>
      </w:r>
      <w:r w:rsidR="00D045A5">
        <w:t xml:space="preserve">both </w:t>
      </w:r>
      <w:r w:rsidR="00A13FE5">
        <w:t>in healthcare</w:t>
      </w:r>
      <w:r w:rsidR="00116E3D">
        <w:t xml:space="preserve"> as well as other</w:t>
      </w:r>
      <w:r w:rsidR="00A13FE5">
        <w:t xml:space="preserve"> organization</w:t>
      </w:r>
      <w:r w:rsidR="00116E3D">
        <w:t>s</w:t>
      </w:r>
      <w:r w:rsidR="00A13FE5">
        <w:t xml:space="preserve">. </w:t>
      </w:r>
      <w:r w:rsidR="00116E3D">
        <w:t xml:space="preserve">Proper handling ensures that risks such as data loss and corruption are addressed. Methods through which data handling can be enhanced include setting up policies and incorporating </w:t>
      </w:r>
      <w:r w:rsidR="00476E53">
        <w:t>proper governance procedures.</w:t>
      </w:r>
      <w:r w:rsidR="00D3657A">
        <w:t xml:space="preserve"> Data governance involves data control at an institutional level. To this, a set of data policies are often created to guide an organization in enhancing</w:t>
      </w:r>
      <w:r w:rsidR="00311B15">
        <w:t xml:space="preserve"> the</w:t>
      </w:r>
      <w:r w:rsidR="00D3657A">
        <w:t xml:space="preserve"> effective management of digital information.</w:t>
      </w:r>
      <w:r w:rsidR="00033CEB">
        <w:t xml:space="preserve"> In this paper, how data governance is incorporated in Kaiser Perkins, and how their policies can be improved is discussed.</w:t>
      </w:r>
    </w:p>
    <w:p w:rsidR="00033CEB" w:rsidRDefault="00033CEB" w:rsidP="00033CEB">
      <w:pPr>
        <w:pStyle w:val="Heading1"/>
      </w:pPr>
      <w:r>
        <w:t>How Data Governance is incorporated in Kaiser Perkins</w:t>
      </w:r>
      <w:r w:rsidR="006F7790">
        <w:t xml:space="preserve"> (KP)</w:t>
      </w:r>
    </w:p>
    <w:p w:rsidR="00033CEB" w:rsidRDefault="00A60834" w:rsidP="00033CEB">
      <w:r>
        <w:tab/>
        <w:t>At Kaiser Perkins, data governance is created for three</w:t>
      </w:r>
      <w:r w:rsidR="00B457B2">
        <w:t xml:space="preserve"> main</w:t>
      </w:r>
      <w:r>
        <w:t xml:space="preserve"> aims; ensuring data quality, developing data literacy, and maximizing the utilization of data.</w:t>
      </w:r>
      <w:r w:rsidR="0000594B">
        <w:t xml:space="preserve"> Regarding this</w:t>
      </w:r>
      <w:r w:rsidR="00603056">
        <w:t xml:space="preserve">, data quality is taken as a measure of the validity and completeness of data. The building of data literacy, on the other hand, is enhanced by taking measures such </w:t>
      </w:r>
      <w:r w:rsidR="002041DE">
        <w:t>as hiring and training to make the organization data-oriented. Regarding the maximization of the utilization of</w:t>
      </w:r>
      <w:r w:rsidR="00454A84">
        <w:t xml:space="preserve"> data, measures such as taken to improve data orientation are taken. Such measures are aimed at reducing costs and risks, and improving experience and quality (</w:t>
      </w:r>
      <w:r w:rsidR="00E566C5">
        <w:t xml:space="preserve">Kaiser Permanente, 2016, </w:t>
      </w:r>
      <w:r w:rsidR="00454A84">
        <w:t>s. 7).</w:t>
      </w:r>
    </w:p>
    <w:p w:rsidR="00506C8A" w:rsidRDefault="00454A84" w:rsidP="00033CEB">
      <w:r>
        <w:tab/>
      </w:r>
      <w:r w:rsidR="00B83E74">
        <w:t>Also, the stakeholders in the organization have been given clearly defined roles within the data governance framework. The senior leadership is supposed to empower the rest of the stakeholders, the Data Governance Committee (DGC) is supposed to coordinate all the processes</w:t>
      </w:r>
      <w:r w:rsidR="00C32ACF">
        <w:t>,</w:t>
      </w:r>
      <w:r w:rsidR="00B83E74">
        <w:t xml:space="preserve"> while the Data Stewards </w:t>
      </w:r>
      <w:r w:rsidR="00C32ACF">
        <w:t>acts as informants and optimizers of the functions. Actions taken by the senior leadership team to empo</w:t>
      </w:r>
      <w:r w:rsidR="00BC32C3">
        <w:t xml:space="preserve">wer the rest include making the three fundamental </w:t>
      </w:r>
      <w:r w:rsidR="00BC32C3">
        <w:lastRenderedPageBreak/>
        <w:t xml:space="preserve">aims of data governance a priority of the organization, providing the </w:t>
      </w:r>
      <w:r w:rsidR="00ED177C">
        <w:t>team with tools, financial backing, and training, and addressing issues that arise in the process of implementing data policies (</w:t>
      </w:r>
      <w:r w:rsidR="00666BB5">
        <w:t>Kaiser Permanente</w:t>
      </w:r>
      <w:r w:rsidR="00666BB5">
        <w:t xml:space="preserve">, 2016, </w:t>
      </w:r>
      <w:r w:rsidR="00ED177C">
        <w:t>p. 9).</w:t>
      </w:r>
      <w:r w:rsidR="00C049F5">
        <w:t xml:space="preserve"> To coordinate the </w:t>
      </w:r>
      <w:r w:rsidR="0069546F">
        <w:t xml:space="preserve">processes regarding data governance, the DGC takes measures such as </w:t>
      </w:r>
      <w:r w:rsidR="00AE1539">
        <w:t xml:space="preserve">solving data-related problems </w:t>
      </w:r>
      <w:r w:rsidR="001848DD">
        <w:t xml:space="preserve">that </w:t>
      </w:r>
      <w:r w:rsidR="00311B15">
        <w:t xml:space="preserve">are </w:t>
      </w:r>
      <w:r w:rsidR="001848DD">
        <w:t>faced by different segments of the organization.</w:t>
      </w:r>
    </w:p>
    <w:p w:rsidR="00FF119F" w:rsidRDefault="00AD5EA0" w:rsidP="00506C8A">
      <w:pPr>
        <w:ind w:firstLine="720"/>
      </w:pPr>
      <w:r>
        <w:t>Due to the differentiation of roles, t</w:t>
      </w:r>
      <w:r w:rsidR="00C83162">
        <w:t xml:space="preserve">he organization’s </w:t>
      </w:r>
      <w:r>
        <w:t>divid</w:t>
      </w:r>
      <w:r w:rsidR="004E179B">
        <w:t>ed into three functional groups that mirror civil governance. That is one group takes the executive role, another the judicial, and yet another one takes the legislative role.</w:t>
      </w:r>
      <w:r w:rsidR="00506C8A">
        <w:t xml:space="preserve"> The governance method is centralized and involves </w:t>
      </w:r>
      <w:r w:rsidR="002950F4">
        <w:t>delegation of authority. The DGC, for instance, can delegate its functions to the Analysis Sub-Committee which can delegate functions to the HER Subcommittee, which can then again delegate its authority to the Strategic Data Acquisition Subcommittee</w:t>
      </w:r>
      <w:r w:rsidR="00FF119F">
        <w:t>.</w:t>
      </w:r>
    </w:p>
    <w:p w:rsidR="00454A84" w:rsidRDefault="00FF119F" w:rsidP="00506C8A">
      <w:pPr>
        <w:ind w:firstLine="720"/>
      </w:pPr>
      <w:r>
        <w:t>Each stakeholder has to fulfil</w:t>
      </w:r>
      <w:r w:rsidR="00311B15">
        <w:t>l</w:t>
      </w:r>
      <w:r>
        <w:t xml:space="preserve"> certain requirements before being given the respective positions. The Data Steward, for example, need to have business knowledge,</w:t>
      </w:r>
      <w:r w:rsidR="00606C9B">
        <w:t xml:space="preserve"> negotiation skills, communication skills, the</w:t>
      </w:r>
      <w:r>
        <w:t xml:space="preserve"> ability to develop </w:t>
      </w:r>
      <w:r w:rsidR="00606C9B">
        <w:t xml:space="preserve">good </w:t>
      </w:r>
      <w:r>
        <w:t>relationships</w:t>
      </w:r>
      <w:r w:rsidR="00606C9B">
        <w:t xml:space="preserve"> and be able to analyze data and come up with relevant solutions.</w:t>
      </w:r>
    </w:p>
    <w:p w:rsidR="00606C9B" w:rsidRDefault="00606C9B" w:rsidP="00506C8A">
      <w:pPr>
        <w:ind w:firstLine="720"/>
      </w:pPr>
      <w:r>
        <w:t>The whole Data-Governance affair is a concerted effort by differ</w:t>
      </w:r>
      <w:r w:rsidR="00704B01">
        <w:t>ent n</w:t>
      </w:r>
      <w:r w:rsidR="00311B15">
        <w:t>etworks, care partners, Health I</w:t>
      </w:r>
      <w:r w:rsidR="0062095E">
        <w:t xml:space="preserve">nformation Exchange (HIE), </w:t>
      </w:r>
      <w:r>
        <w:t>and the payers</w:t>
      </w:r>
      <w:r w:rsidR="0062095E">
        <w:t xml:space="preserve"> (</w:t>
      </w:r>
      <w:r w:rsidR="0062095E">
        <w:t>Kaiser Permanente</w:t>
      </w:r>
      <w:r w:rsidR="0062095E">
        <w:t>, 2016, p. 17)</w:t>
      </w:r>
      <w:bookmarkStart w:id="0" w:name="_GoBack"/>
      <w:bookmarkEnd w:id="0"/>
      <w:r>
        <w:t>.</w:t>
      </w:r>
      <w:r w:rsidR="00086B88">
        <w:t xml:space="preserve"> All have unique and important roles in ensuring the success of data governance. There is also an Information Security Committee whose role is ensuring data protection is maintained.</w:t>
      </w:r>
    </w:p>
    <w:p w:rsidR="006F7790" w:rsidRDefault="006F7790" w:rsidP="006F7790">
      <w:pPr>
        <w:pStyle w:val="Heading1"/>
      </w:pPr>
      <w:r>
        <w:t>Recommendation for How KP can Incorporate Data Governance</w:t>
      </w:r>
    </w:p>
    <w:p w:rsidR="00944507" w:rsidRDefault="00F27665" w:rsidP="006F7790">
      <w:r>
        <w:tab/>
        <w:t>The</w:t>
      </w:r>
      <w:r w:rsidR="004132AA">
        <w:t xml:space="preserve"> first recommendation is to implement a state-level HIE.</w:t>
      </w:r>
      <w:r w:rsidR="00704B01">
        <w:t xml:space="preserve"> It is not explic</w:t>
      </w:r>
      <w:r>
        <w:t>itly stated that the HIE</w:t>
      </w:r>
      <w:r w:rsidR="00704B01">
        <w:t xml:space="preserve"> implemented by KP is state level and is, therefore, probably not. </w:t>
      </w:r>
      <w:r w:rsidR="001020A4">
        <w:t>Implementing a state-level HIE would enable the organiza</w:t>
      </w:r>
      <w:r w:rsidR="00B736ED">
        <w:t xml:space="preserve">tions to act by </w:t>
      </w:r>
      <w:r w:rsidR="001020A4">
        <w:t xml:space="preserve">the American Recovery and Reinvestment </w:t>
      </w:r>
      <w:r w:rsidR="001020A4">
        <w:lastRenderedPageBreak/>
        <w:t>Act (ARRA) that was developed in 2009.</w:t>
      </w:r>
      <w:r w:rsidR="00BB099A">
        <w:t xml:space="preserve"> Also</w:t>
      </w:r>
      <w:r w:rsidR="00B736ED">
        <w:t>,</w:t>
      </w:r>
      <w:r w:rsidR="00BB099A">
        <w:t xml:space="preserve"> it would ease the process of exchanging funds and medical information</w:t>
      </w:r>
      <w:r w:rsidR="00944507">
        <w:t xml:space="preserve"> </w:t>
      </w:r>
      <w:r w:rsidR="00B736ED">
        <w:t xml:space="preserve">simply and securely </w:t>
      </w:r>
      <w:r>
        <w:t>and ensure interoperability</w:t>
      </w:r>
      <w:r w:rsidR="00B736ED">
        <w:t xml:space="preserve"> especially in the patient look</w:t>
      </w:r>
      <w:r w:rsidR="00053351">
        <w:t>up model.</w:t>
      </w:r>
      <w:r w:rsidR="00944507">
        <w:t xml:space="preserve"> The HIE has 7 key values that undoubtedly enhance the effectiveness of data governance in the organizations; authority, neutrality, accountability, </w:t>
      </w:r>
      <w:r w:rsidR="00FC4FEC">
        <w:t>leadership properties, enhancement of business operations, and the coordination processes such as strategic planning and the development of policies</w:t>
      </w:r>
      <w:r w:rsidR="004068AA">
        <w:t>.</w:t>
      </w:r>
    </w:p>
    <w:p w:rsidR="004068AA" w:rsidRDefault="004068AA" w:rsidP="006F7790">
      <w:r>
        <w:tab/>
        <w:t>There are many models in which HIE can be incorporated. Such models include centralized, decentralized, and hybrid models.</w:t>
      </w:r>
      <w:r w:rsidR="00177CDE">
        <w:t xml:space="preserve"> The suggested model to be used by KP is </w:t>
      </w:r>
      <w:r w:rsidR="00B625B6">
        <w:t xml:space="preserve">the </w:t>
      </w:r>
      <w:r w:rsidR="00177CDE">
        <w:t>centralized</w:t>
      </w:r>
      <w:r w:rsidR="00B625B6">
        <w:t xml:space="preserve"> one</w:t>
      </w:r>
      <w:r w:rsidR="001A5068">
        <w:t>.</w:t>
      </w:r>
      <w:r w:rsidR="00177CDE">
        <w:t xml:space="preserve"> This model involves the employment of a centralized repository where health information can be accessed a</w:t>
      </w:r>
      <w:r w:rsidR="0062619A">
        <w:t xml:space="preserve">nd manipulated via the internet. </w:t>
      </w:r>
      <w:r w:rsidR="00DF5599">
        <w:t xml:space="preserve">The recommended method through which the HIE would </w:t>
      </w:r>
      <w:r w:rsidR="008D1B59">
        <w:t>use in the enlistment</w:t>
      </w:r>
      <w:r w:rsidR="00DF5599">
        <w:t xml:space="preserve"> of patient health information into the centralized repository is t</w:t>
      </w:r>
      <w:r w:rsidR="0062619A">
        <w:t>he opt-out consent model</w:t>
      </w:r>
      <w:r w:rsidR="008D1B59">
        <w:t>. Here,</w:t>
      </w:r>
      <w:r w:rsidR="0062619A">
        <w:t xml:space="preserve"> patient health information is automatically entered in the database but the patient allowed</w:t>
      </w:r>
      <w:r w:rsidR="008D1B59">
        <w:t xml:space="preserve"> to complete</w:t>
      </w:r>
      <w:r w:rsidR="00B736ED">
        <w:t>ly opt-</w:t>
      </w:r>
      <w:r w:rsidR="008D1B59">
        <w:t>out should they feel like doing so</w:t>
      </w:r>
      <w:r w:rsidR="0062619A">
        <w:t>.</w:t>
      </w:r>
      <w:r w:rsidR="00B625B6">
        <w:t xml:space="preserve"> This would ens</w:t>
      </w:r>
      <w:r w:rsidR="008D1B59">
        <w:t>ure that important patient information is available in time and also give freedom to the patient to determine how they want their data handled.</w:t>
      </w:r>
    </w:p>
    <w:p w:rsidR="006475BA" w:rsidRDefault="006475BA" w:rsidP="006F7790">
      <w:r>
        <w:tab/>
      </w:r>
      <w:r w:rsidR="00984202">
        <w:t xml:space="preserve">The HIE should </w:t>
      </w:r>
      <w:r w:rsidR="0055562C">
        <w:t>be composed of a representative from the</w:t>
      </w:r>
      <w:r w:rsidR="00100EB1">
        <w:t xml:space="preserve"> Data Governance Committee, Data Stewards, and the senior team.</w:t>
      </w:r>
      <w:r w:rsidR="00374325">
        <w:t xml:space="preserve"> </w:t>
      </w:r>
      <w:r w:rsidR="008423FF">
        <w:t xml:space="preserve">The role of these people will be existing roles in KP. In addition to that, a </w:t>
      </w:r>
      <w:r w:rsidR="00374325">
        <w:t xml:space="preserve">team of </w:t>
      </w:r>
      <w:r w:rsidR="008423FF">
        <w:t xml:space="preserve">IT </w:t>
      </w:r>
      <w:r w:rsidR="00374325">
        <w:t>experts should also be created to</w:t>
      </w:r>
      <w:r w:rsidR="00C14862">
        <w:t xml:space="preserve"> navigate all the technical aspect</w:t>
      </w:r>
      <w:r w:rsidR="00B736ED">
        <w:t>s</w:t>
      </w:r>
      <w:r w:rsidR="00C14862">
        <w:t xml:space="preserve"> </w:t>
      </w:r>
      <w:r w:rsidR="00D82C64">
        <w:t xml:space="preserve">of the HIE. Another team of law experts will also guide the HIE to act </w:t>
      </w:r>
      <w:r w:rsidR="00226331">
        <w:t xml:space="preserve">per </w:t>
      </w:r>
      <w:r w:rsidR="00D82C64">
        <w:t xml:space="preserve">federal rules and regulations such as the </w:t>
      </w:r>
      <w:r w:rsidR="00785A07">
        <w:t>HIPAA, HITECH, and the Privacy Act of 1974.</w:t>
      </w:r>
    </w:p>
    <w:p w:rsidR="00C45F4A" w:rsidRDefault="00C45F4A">
      <w:r>
        <w:br w:type="page"/>
      </w:r>
    </w:p>
    <w:p w:rsidR="00C45F4A" w:rsidRDefault="00C45F4A" w:rsidP="00C45F4A">
      <w:pPr>
        <w:jc w:val="center"/>
      </w:pPr>
      <w:r>
        <w:lastRenderedPageBreak/>
        <w:t>References</w:t>
      </w:r>
    </w:p>
    <w:p w:rsidR="00C45F4A" w:rsidRPr="00E566C5" w:rsidRDefault="00C45F4A" w:rsidP="00C45F4A">
      <w:pPr>
        <w:rPr>
          <w:i/>
        </w:rPr>
      </w:pPr>
      <w:r>
        <w:t xml:space="preserve">Kaiser Permanente </w:t>
      </w:r>
      <w:r w:rsidR="00E566C5">
        <w:t>(2016). Kaiser Permanente in the Community: Increasing Access to Care.</w:t>
      </w:r>
    </w:p>
    <w:p w:rsidR="008D1B59" w:rsidRPr="006F7790" w:rsidRDefault="008D1B59" w:rsidP="006F7790"/>
    <w:sectPr w:rsidR="008D1B59" w:rsidRPr="006F7790" w:rsidSect="00FC5D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BBE" w:rsidRDefault="00464BBE" w:rsidP="004E39C1">
      <w:pPr>
        <w:spacing w:line="240" w:lineRule="auto"/>
      </w:pPr>
      <w:r>
        <w:separator/>
      </w:r>
    </w:p>
  </w:endnote>
  <w:endnote w:type="continuationSeparator" w:id="0">
    <w:p w:rsidR="00464BBE" w:rsidRDefault="00464BBE" w:rsidP="004E3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BBE" w:rsidRDefault="00464BBE" w:rsidP="004E39C1">
      <w:pPr>
        <w:spacing w:line="240" w:lineRule="auto"/>
      </w:pPr>
      <w:r>
        <w:separator/>
      </w:r>
    </w:p>
  </w:footnote>
  <w:footnote w:type="continuationSeparator" w:id="0">
    <w:p w:rsidR="00464BBE" w:rsidRDefault="00464BBE" w:rsidP="004E39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46F" w:rsidRDefault="0069546F" w:rsidP="0069546F">
    <w:pPr>
      <w:pStyle w:val="Footer"/>
    </w:pPr>
    <w:r>
      <w:t>DATA POLICY AND GOVERNANCE</w:t>
    </w:r>
    <w:r>
      <w:tab/>
    </w:r>
    <w:r>
      <w:tab/>
    </w:r>
    <w:r>
      <w:fldChar w:fldCharType="begin"/>
    </w:r>
    <w:r>
      <w:instrText xml:space="preserve"> PAGE   \* MERGEFORMAT </w:instrText>
    </w:r>
    <w:r>
      <w:fldChar w:fldCharType="separate"/>
    </w:r>
    <w:r w:rsidR="0062095E">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68" w:rsidRDefault="00FC5D68">
    <w:pPr>
      <w:pStyle w:val="Header"/>
    </w:pPr>
    <w:r>
      <w:t>Running head: DATA POLICY AND GOVERNANCE</w:t>
    </w:r>
    <w:r>
      <w:tab/>
    </w:r>
    <w:r>
      <w:fldChar w:fldCharType="begin"/>
    </w:r>
    <w:r>
      <w:instrText xml:space="preserve"> PAGE   \* MERGEFORMAT </w:instrText>
    </w:r>
    <w:r>
      <w:fldChar w:fldCharType="separate"/>
    </w:r>
    <w:r w:rsidR="0000594B">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F3"/>
    <w:rsid w:val="0000594B"/>
    <w:rsid w:val="00033CEB"/>
    <w:rsid w:val="00053351"/>
    <w:rsid w:val="00086B88"/>
    <w:rsid w:val="000A37AF"/>
    <w:rsid w:val="00100EB1"/>
    <w:rsid w:val="001020A4"/>
    <w:rsid w:val="00107DF3"/>
    <w:rsid w:val="00116E3D"/>
    <w:rsid w:val="00177CDE"/>
    <w:rsid w:val="001848DD"/>
    <w:rsid w:val="001A5068"/>
    <w:rsid w:val="001E6E14"/>
    <w:rsid w:val="002041DE"/>
    <w:rsid w:val="00226331"/>
    <w:rsid w:val="002950F4"/>
    <w:rsid w:val="00311B15"/>
    <w:rsid w:val="00374325"/>
    <w:rsid w:val="003B65EC"/>
    <w:rsid w:val="003C28CF"/>
    <w:rsid w:val="004068AA"/>
    <w:rsid w:val="004132AA"/>
    <w:rsid w:val="00454A84"/>
    <w:rsid w:val="00456AF9"/>
    <w:rsid w:val="00464BBE"/>
    <w:rsid w:val="00470ADC"/>
    <w:rsid w:val="00476E53"/>
    <w:rsid w:val="004D1A87"/>
    <w:rsid w:val="004E179B"/>
    <w:rsid w:val="004E39C1"/>
    <w:rsid w:val="00506C8A"/>
    <w:rsid w:val="0055562C"/>
    <w:rsid w:val="00603056"/>
    <w:rsid w:val="00606C9B"/>
    <w:rsid w:val="0062095E"/>
    <w:rsid w:val="0062619A"/>
    <w:rsid w:val="00634DD5"/>
    <w:rsid w:val="006475BA"/>
    <w:rsid w:val="00666BB5"/>
    <w:rsid w:val="0069546F"/>
    <w:rsid w:val="006F7790"/>
    <w:rsid w:val="00704B01"/>
    <w:rsid w:val="00785A07"/>
    <w:rsid w:val="007C4459"/>
    <w:rsid w:val="008423FF"/>
    <w:rsid w:val="00891595"/>
    <w:rsid w:val="008D1B59"/>
    <w:rsid w:val="00944507"/>
    <w:rsid w:val="00984202"/>
    <w:rsid w:val="009A5251"/>
    <w:rsid w:val="00A13FE5"/>
    <w:rsid w:val="00A60834"/>
    <w:rsid w:val="00A614A9"/>
    <w:rsid w:val="00AD5EA0"/>
    <w:rsid w:val="00AE1539"/>
    <w:rsid w:val="00B457B2"/>
    <w:rsid w:val="00B625B6"/>
    <w:rsid w:val="00B736ED"/>
    <w:rsid w:val="00B83E74"/>
    <w:rsid w:val="00BB099A"/>
    <w:rsid w:val="00BC32C3"/>
    <w:rsid w:val="00C049F5"/>
    <w:rsid w:val="00C14862"/>
    <w:rsid w:val="00C32ACF"/>
    <w:rsid w:val="00C45F4A"/>
    <w:rsid w:val="00C71A7E"/>
    <w:rsid w:val="00C83162"/>
    <w:rsid w:val="00D045A5"/>
    <w:rsid w:val="00D3657A"/>
    <w:rsid w:val="00D82C64"/>
    <w:rsid w:val="00DD4916"/>
    <w:rsid w:val="00DF5599"/>
    <w:rsid w:val="00E30CEA"/>
    <w:rsid w:val="00E566C5"/>
    <w:rsid w:val="00E65CA9"/>
    <w:rsid w:val="00ED177C"/>
    <w:rsid w:val="00F27665"/>
    <w:rsid w:val="00FC4FEC"/>
    <w:rsid w:val="00FC5D68"/>
    <w:rsid w:val="00FF1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4049B-0139-43CE-BDC7-94914CD4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4DD5"/>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634DD5"/>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634DD5"/>
    <w:pPr>
      <w:keepNext/>
      <w:keepLines/>
      <w:spacing w:before="240" w:after="120"/>
      <w:ind w:left="72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634DD5"/>
    <w:pPr>
      <w:keepNext/>
      <w:keepLines/>
      <w:spacing w:before="40"/>
      <w:ind w:left="720"/>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DD5"/>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634DD5"/>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634DD5"/>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634DD5"/>
    <w:rPr>
      <w:rFonts w:ascii="Times New Roman" w:eastAsiaTheme="majorEastAsia" w:hAnsi="Times New Roman" w:cstheme="majorBidi"/>
      <w:b/>
      <w:i/>
      <w:iCs/>
      <w:color w:val="000000" w:themeColor="text1"/>
      <w:sz w:val="24"/>
    </w:rPr>
  </w:style>
  <w:style w:type="paragraph" w:styleId="Header">
    <w:name w:val="header"/>
    <w:basedOn w:val="Normal"/>
    <w:link w:val="HeaderChar"/>
    <w:uiPriority w:val="99"/>
    <w:unhideWhenUsed/>
    <w:rsid w:val="004E39C1"/>
    <w:pPr>
      <w:tabs>
        <w:tab w:val="center" w:pos="4680"/>
        <w:tab w:val="right" w:pos="9360"/>
      </w:tabs>
      <w:spacing w:line="240" w:lineRule="auto"/>
    </w:pPr>
  </w:style>
  <w:style w:type="character" w:customStyle="1" w:styleId="HeaderChar">
    <w:name w:val="Header Char"/>
    <w:basedOn w:val="DefaultParagraphFont"/>
    <w:link w:val="Header"/>
    <w:uiPriority w:val="99"/>
    <w:rsid w:val="004E39C1"/>
  </w:style>
  <w:style w:type="paragraph" w:styleId="Footer">
    <w:name w:val="footer"/>
    <w:basedOn w:val="Normal"/>
    <w:link w:val="FooterChar"/>
    <w:uiPriority w:val="99"/>
    <w:unhideWhenUsed/>
    <w:rsid w:val="004E39C1"/>
    <w:pPr>
      <w:tabs>
        <w:tab w:val="center" w:pos="4680"/>
        <w:tab w:val="right" w:pos="9360"/>
      </w:tabs>
      <w:spacing w:line="240" w:lineRule="auto"/>
    </w:pPr>
  </w:style>
  <w:style w:type="character" w:customStyle="1" w:styleId="FooterChar">
    <w:name w:val="Footer Char"/>
    <w:basedOn w:val="DefaultParagraphFont"/>
    <w:link w:val="Footer"/>
    <w:uiPriority w:val="99"/>
    <w:rsid w:val="004E3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7</cp:revision>
  <dcterms:created xsi:type="dcterms:W3CDTF">2019-11-08T04:21:00Z</dcterms:created>
  <dcterms:modified xsi:type="dcterms:W3CDTF">2019-11-08T06:48:00Z</dcterms:modified>
</cp:coreProperties>
</file>